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05CB" w14:textId="77777777" w:rsidR="00012479" w:rsidRPr="00684578" w:rsidRDefault="00684578" w:rsidP="001E53D6">
      <w:pPr>
        <w:pStyle w:val="a3"/>
        <w:spacing w:before="26"/>
        <w:ind w:left="192" w:firstLine="0"/>
        <w:jc w:val="both"/>
        <w:rPr>
          <w:lang w:val="kk-KZ"/>
        </w:rPr>
      </w:pPr>
      <w:r>
        <w:rPr>
          <w:lang w:val="kk-KZ"/>
        </w:rPr>
        <w:t>«</w:t>
      </w:r>
      <w:r w:rsidRPr="00684578">
        <w:rPr>
          <w:lang w:val="kk-KZ"/>
        </w:rPr>
        <w:t>ТОЙОТА СИТИ FAMILY</w:t>
      </w:r>
      <w:r>
        <w:rPr>
          <w:lang w:val="kk-KZ"/>
        </w:rPr>
        <w:t>»</w:t>
      </w:r>
      <w:r w:rsidRPr="00684578">
        <w:rPr>
          <w:lang w:val="kk-KZ"/>
        </w:rPr>
        <w:t xml:space="preserve"> АДАЛДЫҚ БАҒДАРЛАМАСЫНЫҢ ЕРЕЖЕЛЕРІ МЕН ШАРТТАРЫ</w:t>
      </w:r>
    </w:p>
    <w:p w14:paraId="2F73D507" w14:textId="77777777" w:rsidR="00012479" w:rsidRPr="00684578" w:rsidRDefault="00012479" w:rsidP="001E53D6">
      <w:pPr>
        <w:pStyle w:val="a3"/>
        <w:ind w:left="0" w:firstLine="0"/>
        <w:jc w:val="both"/>
        <w:rPr>
          <w:lang w:val="kk-KZ"/>
        </w:rPr>
      </w:pPr>
    </w:p>
    <w:p w14:paraId="09C047D6" w14:textId="77777777" w:rsidR="00012479" w:rsidRPr="00684578" w:rsidRDefault="00012479" w:rsidP="001E53D6">
      <w:pPr>
        <w:pStyle w:val="a3"/>
        <w:spacing w:before="5"/>
        <w:ind w:left="0" w:firstLine="0"/>
        <w:jc w:val="both"/>
        <w:rPr>
          <w:sz w:val="26"/>
          <w:lang w:val="kk-KZ"/>
        </w:rPr>
      </w:pPr>
    </w:p>
    <w:p w14:paraId="30908B80" w14:textId="77777777" w:rsidR="00012479" w:rsidRPr="00684578" w:rsidRDefault="00684578" w:rsidP="001E53D6">
      <w:pPr>
        <w:pStyle w:val="11"/>
        <w:numPr>
          <w:ilvl w:val="0"/>
          <w:numId w:val="2"/>
        </w:numPr>
        <w:tabs>
          <w:tab w:val="left" w:pos="477"/>
        </w:tabs>
        <w:spacing w:before="1"/>
        <w:ind w:hanging="362"/>
        <w:jc w:val="both"/>
        <w:rPr>
          <w:lang w:val="kk-KZ"/>
        </w:rPr>
      </w:pPr>
      <w:r>
        <w:rPr>
          <w:lang w:val="kk-KZ"/>
        </w:rPr>
        <w:t>«</w:t>
      </w:r>
      <w:r w:rsidRPr="00684578">
        <w:rPr>
          <w:lang w:val="kk-KZ"/>
        </w:rPr>
        <w:t>ТОЙОТА СИТИ FAMILY</w:t>
      </w:r>
      <w:r>
        <w:rPr>
          <w:lang w:val="kk-KZ"/>
        </w:rPr>
        <w:t>»</w:t>
      </w:r>
      <w:r w:rsidRPr="00684578">
        <w:rPr>
          <w:lang w:val="kk-KZ"/>
        </w:rPr>
        <w:t xml:space="preserve"> жалпы ақпараты</w:t>
      </w:r>
    </w:p>
    <w:p w14:paraId="34446E2A" w14:textId="77777777" w:rsidR="00012479" w:rsidRPr="00684578" w:rsidRDefault="00012479" w:rsidP="001E53D6">
      <w:pPr>
        <w:pStyle w:val="a3"/>
        <w:ind w:left="0" w:firstLine="0"/>
        <w:jc w:val="both"/>
        <w:rPr>
          <w:b/>
          <w:lang w:val="kk-KZ"/>
        </w:rPr>
      </w:pPr>
    </w:p>
    <w:p w14:paraId="404311BB" w14:textId="77777777" w:rsidR="00012479" w:rsidRPr="00684578" w:rsidRDefault="00012479" w:rsidP="001E53D6">
      <w:pPr>
        <w:pStyle w:val="a3"/>
        <w:ind w:left="0" w:firstLine="0"/>
        <w:jc w:val="both"/>
        <w:rPr>
          <w:b/>
          <w:lang w:val="kk-KZ"/>
        </w:rPr>
      </w:pPr>
    </w:p>
    <w:p w14:paraId="680C0FEB" w14:textId="77777777" w:rsidR="00012479" w:rsidRPr="00684578" w:rsidRDefault="00684578" w:rsidP="001E53D6">
      <w:pPr>
        <w:pStyle w:val="a4"/>
        <w:numPr>
          <w:ilvl w:val="1"/>
          <w:numId w:val="2"/>
        </w:numPr>
        <w:tabs>
          <w:tab w:val="left" w:pos="914"/>
        </w:tabs>
        <w:spacing w:before="1"/>
        <w:ind w:right="107"/>
        <w:jc w:val="both"/>
        <w:rPr>
          <w:lang w:val="kk-KZ"/>
        </w:rPr>
      </w:pPr>
      <w:r w:rsidRPr="00684578">
        <w:rPr>
          <w:lang w:val="kk-KZ"/>
        </w:rPr>
        <w:t>Алматы қ. Тойота Сити автоорталығының әрбір клиентіне тауарларды немесе қызметтерді сатып алу кезінде бонустық карта ұсынылады. Бонустық карта клиенттің қалауы бойынша және сауалнама толтырылған жағдайда ұсынылады.</w:t>
      </w:r>
    </w:p>
    <w:p w14:paraId="31CB942C" w14:textId="77777777" w:rsidR="00012479" w:rsidRPr="00684578" w:rsidRDefault="00684578" w:rsidP="001E53D6">
      <w:pPr>
        <w:pStyle w:val="a4"/>
        <w:numPr>
          <w:ilvl w:val="1"/>
          <w:numId w:val="2"/>
        </w:numPr>
        <w:tabs>
          <w:tab w:val="left" w:pos="914"/>
        </w:tabs>
        <w:ind w:right="108"/>
        <w:jc w:val="both"/>
        <w:rPr>
          <w:lang w:val="kk-KZ"/>
        </w:rPr>
      </w:pPr>
      <w:r w:rsidRPr="00684578">
        <w:rPr>
          <w:lang w:val="kk-KZ"/>
        </w:rPr>
        <w:t>Бонустық карта - бұл алдыңғы жағында жеке сәйкестендіру нөмірі басылған магниттік пластикалық карта.</w:t>
      </w:r>
    </w:p>
    <w:p w14:paraId="6A0021BE" w14:textId="77777777" w:rsidR="00012479" w:rsidRPr="00684578" w:rsidRDefault="00684578" w:rsidP="001E53D6">
      <w:pPr>
        <w:pStyle w:val="a4"/>
        <w:numPr>
          <w:ilvl w:val="1"/>
          <w:numId w:val="2"/>
        </w:numPr>
        <w:tabs>
          <w:tab w:val="left" w:pos="914"/>
        </w:tabs>
        <w:ind w:right="107"/>
        <w:jc w:val="both"/>
        <w:rPr>
          <w:lang w:val="kk-KZ"/>
        </w:rPr>
      </w:pPr>
      <w:r w:rsidRPr="00684578">
        <w:rPr>
          <w:lang w:val="kk-KZ"/>
        </w:rPr>
        <w:t xml:space="preserve">Бонустық карта </w:t>
      </w:r>
      <w:r>
        <w:rPr>
          <w:lang w:val="kk-KZ"/>
        </w:rPr>
        <w:t>«</w:t>
      </w:r>
      <w:r w:rsidRPr="00684578">
        <w:rPr>
          <w:lang w:val="kk-KZ"/>
        </w:rPr>
        <w:t>ТОЙОТА СИТИ FAMILY</w:t>
      </w:r>
      <w:r>
        <w:rPr>
          <w:lang w:val="kk-KZ"/>
        </w:rPr>
        <w:t>»</w:t>
      </w:r>
      <w:r w:rsidRPr="00684578">
        <w:rPr>
          <w:lang w:val="kk-KZ"/>
        </w:rPr>
        <w:t xml:space="preserve"> бағдарламасы бойынша беріледі және Алматы қ. Тойота Сити автоорталығында аксессуарларды, қосалқы бөлшектерді немесе қызметтерді бұрынғы сатып алу нәтижесінде жинақталған сомаға жеңілдіктер жүйесін білдіреді.</w:t>
      </w:r>
    </w:p>
    <w:p w14:paraId="221B53FC" w14:textId="77777777" w:rsidR="00012479" w:rsidRPr="00684578" w:rsidRDefault="00684578" w:rsidP="001E53D6">
      <w:pPr>
        <w:pStyle w:val="a4"/>
        <w:numPr>
          <w:ilvl w:val="1"/>
          <w:numId w:val="2"/>
        </w:numPr>
        <w:tabs>
          <w:tab w:val="left" w:pos="914"/>
        </w:tabs>
        <w:spacing w:line="279" w:lineRule="exact"/>
        <w:ind w:hanging="361"/>
        <w:jc w:val="both"/>
        <w:rPr>
          <w:lang w:val="kk-KZ"/>
        </w:rPr>
      </w:pPr>
      <w:r w:rsidRPr="00684578">
        <w:rPr>
          <w:lang w:val="kk-KZ"/>
        </w:rPr>
        <w:t>Бонустар есептеледі және картада сақталады.</w:t>
      </w:r>
    </w:p>
    <w:p w14:paraId="0D71BBD9" w14:textId="77777777" w:rsidR="00012479" w:rsidRPr="00684578" w:rsidRDefault="00684578" w:rsidP="001E53D6">
      <w:pPr>
        <w:pStyle w:val="a4"/>
        <w:numPr>
          <w:ilvl w:val="1"/>
          <w:numId w:val="2"/>
        </w:numPr>
        <w:tabs>
          <w:tab w:val="left" w:pos="914"/>
        </w:tabs>
        <w:ind w:right="110"/>
        <w:jc w:val="both"/>
        <w:rPr>
          <w:lang w:val="kk-KZ"/>
        </w:rPr>
      </w:pPr>
      <w:r w:rsidRPr="00684578">
        <w:rPr>
          <w:lang w:val="kk-KZ"/>
        </w:rPr>
        <w:t>Бонустық карталар бойынша жеңілдіктер аксессуарларды, бөлшектерді немесе қызметтерді кейіннен сатып алуға беріледі.</w:t>
      </w:r>
    </w:p>
    <w:p w14:paraId="5F402A61" w14:textId="77777777" w:rsidR="00012479" w:rsidRPr="00684578" w:rsidRDefault="00684578" w:rsidP="001E53D6">
      <w:pPr>
        <w:pStyle w:val="a4"/>
        <w:numPr>
          <w:ilvl w:val="1"/>
          <w:numId w:val="2"/>
        </w:numPr>
        <w:tabs>
          <w:tab w:val="left" w:pos="914"/>
        </w:tabs>
        <w:spacing w:before="1"/>
        <w:ind w:hanging="361"/>
        <w:jc w:val="both"/>
        <w:rPr>
          <w:lang w:val="kk-KZ"/>
        </w:rPr>
      </w:pPr>
      <w:r w:rsidRPr="00684578">
        <w:rPr>
          <w:lang w:val="kk-KZ"/>
        </w:rPr>
        <w:t>Бонустық карта Алматы қ. Тойота Сити автоорталығында ғана жұмыс істейді.</w:t>
      </w:r>
    </w:p>
    <w:p w14:paraId="3BA6AE12" w14:textId="77777777" w:rsidR="00012479" w:rsidRPr="00684578" w:rsidRDefault="00684578" w:rsidP="001E53D6">
      <w:pPr>
        <w:pStyle w:val="a4"/>
        <w:numPr>
          <w:ilvl w:val="1"/>
          <w:numId w:val="2"/>
        </w:numPr>
        <w:tabs>
          <w:tab w:val="left" w:pos="914"/>
        </w:tabs>
        <w:ind w:right="107"/>
        <w:jc w:val="both"/>
        <w:rPr>
          <w:lang w:val="kk-KZ"/>
        </w:rPr>
      </w:pPr>
      <w:r>
        <w:rPr>
          <w:lang w:val="kk-KZ"/>
        </w:rPr>
        <w:t>«</w:t>
      </w:r>
      <w:r w:rsidRPr="00684578">
        <w:rPr>
          <w:lang w:val="kk-KZ"/>
        </w:rPr>
        <w:t>ТОЙОТА СИТИ FAMILY</w:t>
      </w:r>
      <w:r>
        <w:rPr>
          <w:lang w:val="kk-KZ"/>
        </w:rPr>
        <w:t>»</w:t>
      </w:r>
      <w:r w:rsidRPr="00684578">
        <w:rPr>
          <w:lang w:val="kk-KZ"/>
        </w:rPr>
        <w:t xml:space="preserve"> бағдарламасы қолданысқа енгізілген сәттен бастап бұрын берілген жеңілдіктер қолданылмайды.</w:t>
      </w:r>
    </w:p>
    <w:p w14:paraId="0470B26C" w14:textId="77777777" w:rsidR="00012479" w:rsidRPr="00684578" w:rsidRDefault="00012479" w:rsidP="001E53D6">
      <w:pPr>
        <w:pStyle w:val="a3"/>
        <w:ind w:left="0" w:firstLine="0"/>
        <w:jc w:val="both"/>
        <w:rPr>
          <w:lang w:val="kk-KZ"/>
        </w:rPr>
      </w:pPr>
    </w:p>
    <w:p w14:paraId="72799074" w14:textId="77777777" w:rsidR="00012479" w:rsidRPr="00684578" w:rsidRDefault="00012479" w:rsidP="001E53D6">
      <w:pPr>
        <w:pStyle w:val="a3"/>
        <w:spacing w:before="5"/>
        <w:ind w:left="0" w:firstLine="0"/>
        <w:jc w:val="both"/>
        <w:rPr>
          <w:sz w:val="29"/>
          <w:lang w:val="kk-KZ"/>
        </w:rPr>
      </w:pPr>
    </w:p>
    <w:p w14:paraId="3CA7AD53" w14:textId="77777777" w:rsidR="00012479" w:rsidRPr="00684578" w:rsidRDefault="00684578" w:rsidP="001E53D6">
      <w:pPr>
        <w:pStyle w:val="11"/>
        <w:numPr>
          <w:ilvl w:val="0"/>
          <w:numId w:val="2"/>
        </w:numPr>
        <w:tabs>
          <w:tab w:val="left" w:pos="663"/>
          <w:tab w:val="left" w:pos="664"/>
        </w:tabs>
        <w:ind w:left="663" w:hanging="472"/>
        <w:jc w:val="both"/>
        <w:rPr>
          <w:lang w:val="kk-KZ"/>
        </w:rPr>
      </w:pPr>
      <w:r w:rsidRPr="00684578">
        <w:rPr>
          <w:lang w:val="kk-KZ"/>
        </w:rPr>
        <w:t>Қатысу ережелері</w:t>
      </w:r>
    </w:p>
    <w:p w14:paraId="07B1144F" w14:textId="77777777" w:rsidR="00012479" w:rsidRPr="00684578" w:rsidRDefault="00012479" w:rsidP="001E53D6">
      <w:pPr>
        <w:pStyle w:val="a3"/>
        <w:spacing w:before="6"/>
        <w:ind w:left="0" w:firstLine="0"/>
        <w:jc w:val="both"/>
        <w:rPr>
          <w:b/>
          <w:sz w:val="29"/>
          <w:lang w:val="kk-KZ"/>
        </w:rPr>
      </w:pPr>
    </w:p>
    <w:p w14:paraId="2F64D54B" w14:textId="77777777" w:rsidR="00012479" w:rsidRPr="00684578" w:rsidRDefault="00684578" w:rsidP="001E53D6">
      <w:pPr>
        <w:pStyle w:val="a4"/>
        <w:numPr>
          <w:ilvl w:val="1"/>
          <w:numId w:val="2"/>
        </w:numPr>
        <w:tabs>
          <w:tab w:val="left" w:pos="913"/>
          <w:tab w:val="left" w:pos="914"/>
        </w:tabs>
        <w:ind w:right="1462"/>
        <w:jc w:val="both"/>
        <w:rPr>
          <w:lang w:val="kk-KZ"/>
        </w:rPr>
      </w:pPr>
      <w:r>
        <w:rPr>
          <w:lang w:val="kk-KZ"/>
        </w:rPr>
        <w:t>«</w:t>
      </w:r>
      <w:r w:rsidRPr="00684578">
        <w:rPr>
          <w:lang w:val="kk-KZ"/>
        </w:rPr>
        <w:t>ТОЙОТА СИТИ FAMILY</w:t>
      </w:r>
      <w:r>
        <w:rPr>
          <w:lang w:val="kk-KZ"/>
        </w:rPr>
        <w:t>»</w:t>
      </w:r>
      <w:r w:rsidRPr="00684578">
        <w:rPr>
          <w:lang w:val="kk-KZ"/>
        </w:rPr>
        <w:t xml:space="preserve"> бағдарламасы жеке тұлғалар үшін ғана қарастырылған, жеке кәсіпкерлер мен заңды тұлғаларға қолданылмайды.</w:t>
      </w:r>
    </w:p>
    <w:p w14:paraId="4A5779BC" w14:textId="77777777" w:rsidR="00012479" w:rsidRPr="00684578" w:rsidRDefault="00684578" w:rsidP="001E53D6">
      <w:pPr>
        <w:pStyle w:val="a4"/>
        <w:numPr>
          <w:ilvl w:val="1"/>
          <w:numId w:val="2"/>
        </w:numPr>
        <w:tabs>
          <w:tab w:val="left" w:pos="913"/>
          <w:tab w:val="left" w:pos="914"/>
        </w:tabs>
        <w:spacing w:before="1"/>
        <w:ind w:right="846"/>
        <w:jc w:val="both"/>
        <w:rPr>
          <w:lang w:val="kk-KZ"/>
        </w:rPr>
      </w:pPr>
      <w:r w:rsidRPr="00684578">
        <w:rPr>
          <w:lang w:val="kk-KZ"/>
        </w:rPr>
        <w:t xml:space="preserve">Бонустық картаны </w:t>
      </w:r>
      <w:r>
        <w:rPr>
          <w:lang w:val="kk-KZ"/>
        </w:rPr>
        <w:t>«</w:t>
      </w:r>
      <w:r w:rsidRPr="00684578">
        <w:rPr>
          <w:lang w:val="kk-KZ"/>
        </w:rPr>
        <w:t>Тойота Сити</w:t>
      </w:r>
      <w:r>
        <w:rPr>
          <w:lang w:val="kk-KZ"/>
        </w:rPr>
        <w:t>»</w:t>
      </w:r>
      <w:r w:rsidRPr="00684578">
        <w:rPr>
          <w:lang w:val="kk-KZ"/>
        </w:rPr>
        <w:t xml:space="preserve"> автоорталығында аксессуарларды, қосалқы бөлшектерді сатып алу немесе қызмет көрсету кезінде төлем сәтіне дейін көрсету қажет, өзге жағдайда бонустар есептелмейді.</w:t>
      </w:r>
    </w:p>
    <w:p w14:paraId="18E5F2D2" w14:textId="77777777" w:rsidR="00012479" w:rsidRPr="00684578" w:rsidRDefault="00684578" w:rsidP="001E53D6">
      <w:pPr>
        <w:pStyle w:val="a4"/>
        <w:numPr>
          <w:ilvl w:val="1"/>
          <w:numId w:val="2"/>
        </w:numPr>
        <w:tabs>
          <w:tab w:val="left" w:pos="913"/>
          <w:tab w:val="left" w:pos="914"/>
        </w:tabs>
        <w:ind w:right="111"/>
        <w:jc w:val="both"/>
        <w:rPr>
          <w:lang w:val="kk-KZ"/>
        </w:rPr>
      </w:pPr>
      <w:r w:rsidRPr="00684578">
        <w:rPr>
          <w:lang w:val="kk-KZ"/>
        </w:rPr>
        <w:t>Бонустық картаны Тойота Сити автоорталығынан, тауарды немесе қызметтерді сатып алғаннан кейін және клиент сауалнаманы толтырған жағдайда тегін сатып алуға болады.</w:t>
      </w:r>
    </w:p>
    <w:p w14:paraId="48A12DBE" w14:textId="77777777" w:rsidR="00012479" w:rsidRPr="00684578" w:rsidRDefault="00684578" w:rsidP="001E53D6">
      <w:pPr>
        <w:pStyle w:val="a4"/>
        <w:numPr>
          <w:ilvl w:val="1"/>
          <w:numId w:val="2"/>
        </w:numPr>
        <w:tabs>
          <w:tab w:val="left" w:pos="913"/>
          <w:tab w:val="left" w:pos="914"/>
        </w:tabs>
        <w:ind w:hanging="361"/>
        <w:jc w:val="both"/>
        <w:rPr>
          <w:lang w:val="kk-KZ"/>
        </w:rPr>
      </w:pPr>
      <w:r w:rsidRPr="00684578">
        <w:rPr>
          <w:lang w:val="kk-KZ"/>
        </w:rPr>
        <w:t>Бонустық картаны сатып алу үшін Тойота Сити автоорталығында сауалнаманы толтырыңыз және қол қойыңыз.</w:t>
      </w:r>
    </w:p>
    <w:p w14:paraId="6A64A87D" w14:textId="77777777" w:rsidR="00012479" w:rsidRPr="00684578" w:rsidRDefault="00684578" w:rsidP="001E53D6">
      <w:pPr>
        <w:pStyle w:val="a4"/>
        <w:numPr>
          <w:ilvl w:val="1"/>
          <w:numId w:val="2"/>
        </w:numPr>
        <w:tabs>
          <w:tab w:val="left" w:pos="914"/>
        </w:tabs>
        <w:ind w:right="112"/>
        <w:jc w:val="both"/>
        <w:rPr>
          <w:lang w:val="kk-KZ"/>
        </w:rPr>
      </w:pPr>
      <w:r w:rsidRPr="00684578">
        <w:rPr>
          <w:lang w:val="kk-KZ"/>
        </w:rPr>
        <w:t>Тіркеу кезінде Карта иесі көрсеткен деректер сатып алынған бонустық карта нөміріне сәйкес Компанияның дерекқорына енгізілетін болады</w:t>
      </w:r>
    </w:p>
    <w:p w14:paraId="32A0B4C7" w14:textId="77777777" w:rsidR="00012479" w:rsidRPr="00684578" w:rsidRDefault="00684578" w:rsidP="001E53D6">
      <w:pPr>
        <w:pStyle w:val="a4"/>
        <w:numPr>
          <w:ilvl w:val="1"/>
          <w:numId w:val="2"/>
        </w:numPr>
        <w:tabs>
          <w:tab w:val="left" w:pos="914"/>
        </w:tabs>
        <w:spacing w:before="1"/>
        <w:ind w:right="106"/>
        <w:jc w:val="both"/>
        <w:rPr>
          <w:lang w:val="kk-KZ"/>
        </w:rPr>
      </w:pPr>
      <w:r w:rsidRPr="00684578">
        <w:rPr>
          <w:lang w:val="kk-KZ"/>
        </w:rPr>
        <w:t>Сауалнаманы толтырып, бонустық картаны алғаннан кейін сіз осы ережелермен келісіміңізді және ұсынылған ақпаратты маркетингтік немесе жарнамалық мақсаттарда, ҚР қолданыстағы заңнамасын бұзбайтын әдістермен пайдалануға келісіміңізді растайсыз.</w:t>
      </w:r>
    </w:p>
    <w:p w14:paraId="5A440950" w14:textId="77777777" w:rsidR="00012479" w:rsidRPr="00684578" w:rsidRDefault="00684578" w:rsidP="001E53D6">
      <w:pPr>
        <w:pStyle w:val="a4"/>
        <w:numPr>
          <w:ilvl w:val="1"/>
          <w:numId w:val="2"/>
        </w:numPr>
        <w:tabs>
          <w:tab w:val="left" w:pos="914"/>
        </w:tabs>
        <w:ind w:right="205"/>
        <w:jc w:val="both"/>
        <w:rPr>
          <w:lang w:val="kk-KZ"/>
        </w:rPr>
      </w:pPr>
      <w:r w:rsidRPr="00684578">
        <w:rPr>
          <w:lang w:val="kk-KZ"/>
        </w:rPr>
        <w:t>Бонустық картаның қозғалысы туралы хабарландыру смс арқылы тіркелу кезінде сауалнамада көрсетілген байланыс телефон нөміріне хабарламамен келеді.</w:t>
      </w:r>
    </w:p>
    <w:p w14:paraId="7F2625CA" w14:textId="77777777" w:rsidR="00012479" w:rsidRPr="00684578" w:rsidRDefault="00684578" w:rsidP="001E53D6">
      <w:pPr>
        <w:pStyle w:val="a4"/>
        <w:numPr>
          <w:ilvl w:val="1"/>
          <w:numId w:val="2"/>
        </w:numPr>
        <w:tabs>
          <w:tab w:val="left" w:pos="914"/>
        </w:tabs>
        <w:ind w:right="105"/>
        <w:jc w:val="both"/>
        <w:rPr>
          <w:lang w:val="kk-KZ"/>
        </w:rPr>
      </w:pPr>
      <w:r w:rsidRPr="00684578">
        <w:rPr>
          <w:lang w:val="kk-KZ"/>
        </w:rPr>
        <w:t>Картаны сатып алғаннан кейін жинақтаушы шот ашылады және осы сәттен бастап Сіздің картаңыз Тойота Сити автоорталығының тауарлары мен қызметтеріне бонустарды жинақтау және айырбастау құралы болып табылады.</w:t>
      </w:r>
    </w:p>
    <w:p w14:paraId="7584AD84" w14:textId="77777777" w:rsidR="00012479" w:rsidRPr="00684578" w:rsidRDefault="00684578" w:rsidP="001E53D6">
      <w:pPr>
        <w:pStyle w:val="a4"/>
        <w:numPr>
          <w:ilvl w:val="1"/>
          <w:numId w:val="2"/>
        </w:numPr>
        <w:tabs>
          <w:tab w:val="left" w:pos="914"/>
        </w:tabs>
        <w:spacing w:line="279" w:lineRule="exact"/>
        <w:ind w:hanging="361"/>
        <w:jc w:val="both"/>
        <w:rPr>
          <w:lang w:val="kk-KZ"/>
        </w:rPr>
      </w:pPr>
      <w:r w:rsidRPr="00684578">
        <w:rPr>
          <w:lang w:val="kk-KZ"/>
        </w:rPr>
        <w:t>Бонустық картаны арнайы құрылғыда сервистік кеңесші оқығаннан кейін,</w:t>
      </w:r>
    </w:p>
    <w:p w14:paraId="7E0199F5" w14:textId="77777777" w:rsidR="00012479" w:rsidRPr="00684578" w:rsidRDefault="00684578" w:rsidP="001E53D6">
      <w:pPr>
        <w:ind w:left="913" w:right="565"/>
        <w:jc w:val="both"/>
        <w:rPr>
          <w:i/>
          <w:lang w:val="kk-KZ"/>
        </w:rPr>
      </w:pPr>
      <w:r w:rsidRPr="00684578">
        <w:rPr>
          <w:lang w:val="kk-KZ"/>
        </w:rPr>
        <w:t>бөлшектерді сату жөніндегі маман Сіздің картаңызды қайтарғаныңызға көз жеткізіңіз - карта нөмірін тексеріңіз. (</w:t>
      </w:r>
      <w:r w:rsidRPr="00684578">
        <w:rPr>
          <w:i/>
          <w:lang w:val="kk-KZ"/>
        </w:rPr>
        <w:t>Шатаспау үшін өз картаңыздың нөмірін білуіңіз керек).</w:t>
      </w:r>
    </w:p>
    <w:p w14:paraId="1E7C59B2" w14:textId="77777777" w:rsidR="00012479" w:rsidRPr="00684578" w:rsidRDefault="00684578" w:rsidP="001E53D6">
      <w:pPr>
        <w:pStyle w:val="a4"/>
        <w:numPr>
          <w:ilvl w:val="1"/>
          <w:numId w:val="2"/>
        </w:numPr>
        <w:tabs>
          <w:tab w:val="left" w:pos="913"/>
          <w:tab w:val="left" w:pos="914"/>
        </w:tabs>
        <w:spacing w:before="1"/>
        <w:ind w:right="286"/>
        <w:jc w:val="both"/>
        <w:rPr>
          <w:lang w:val="kk-KZ"/>
        </w:rPr>
      </w:pPr>
      <w:r w:rsidRPr="00684578">
        <w:rPr>
          <w:lang w:val="kk-KZ"/>
        </w:rPr>
        <w:t>Бонустық картаның иесі тіркеу кезінде көрсеткен өзінің жеке деректеріндегі өзгерістер туралы уақтылы хабарлауға дербес жауапты болады</w:t>
      </w:r>
    </w:p>
    <w:p w14:paraId="2389C7B9" w14:textId="77777777" w:rsidR="00012479" w:rsidRPr="00684578" w:rsidRDefault="00684578" w:rsidP="001E53D6">
      <w:pPr>
        <w:pStyle w:val="a4"/>
        <w:numPr>
          <w:ilvl w:val="1"/>
          <w:numId w:val="2"/>
        </w:numPr>
        <w:tabs>
          <w:tab w:val="left" w:pos="913"/>
          <w:tab w:val="left" w:pos="914"/>
        </w:tabs>
        <w:ind w:right="428"/>
        <w:jc w:val="both"/>
        <w:rPr>
          <w:lang w:val="kk-KZ"/>
        </w:rPr>
      </w:pPr>
      <w:r w:rsidRPr="00684578">
        <w:rPr>
          <w:lang w:val="kk-KZ"/>
        </w:rPr>
        <w:t>Жинақтаушы бонустық бағдарламаға қатыса отырып, қатысушы осымен бағдарламаға қатысу ережелерімен танысқанын және олармен келісетінін растайды.</w:t>
      </w:r>
    </w:p>
    <w:p w14:paraId="77BFD7AD" w14:textId="77777777" w:rsidR="00012479" w:rsidRPr="00684578" w:rsidRDefault="00012479" w:rsidP="001E53D6">
      <w:pPr>
        <w:pStyle w:val="a3"/>
        <w:ind w:left="0" w:firstLine="0"/>
        <w:jc w:val="both"/>
        <w:rPr>
          <w:lang w:val="kk-KZ"/>
        </w:rPr>
      </w:pPr>
    </w:p>
    <w:p w14:paraId="15C1EF07" w14:textId="70CCA54A" w:rsidR="00012479" w:rsidRDefault="00012479" w:rsidP="001E53D6">
      <w:pPr>
        <w:pStyle w:val="a3"/>
        <w:spacing w:before="5"/>
        <w:ind w:left="0" w:firstLine="0"/>
        <w:jc w:val="both"/>
        <w:rPr>
          <w:sz w:val="27"/>
          <w:lang w:val="kk-KZ"/>
        </w:rPr>
      </w:pPr>
    </w:p>
    <w:p w14:paraId="75EDF6B3" w14:textId="451E23BE" w:rsidR="001E53D6" w:rsidRDefault="001E53D6" w:rsidP="001E53D6">
      <w:pPr>
        <w:pStyle w:val="a3"/>
        <w:spacing w:before="5"/>
        <w:ind w:left="0" w:firstLine="0"/>
        <w:jc w:val="both"/>
        <w:rPr>
          <w:sz w:val="27"/>
          <w:lang w:val="kk-KZ"/>
        </w:rPr>
      </w:pPr>
    </w:p>
    <w:p w14:paraId="304E0D76" w14:textId="3D672EC0" w:rsidR="001E53D6" w:rsidRDefault="001E53D6" w:rsidP="001E53D6">
      <w:pPr>
        <w:pStyle w:val="a3"/>
        <w:spacing w:before="5"/>
        <w:ind w:left="0" w:firstLine="0"/>
        <w:jc w:val="both"/>
        <w:rPr>
          <w:sz w:val="27"/>
          <w:lang w:val="kk-KZ"/>
        </w:rPr>
      </w:pPr>
    </w:p>
    <w:p w14:paraId="68176312" w14:textId="77777777" w:rsidR="001E53D6" w:rsidRPr="00684578" w:rsidRDefault="001E53D6" w:rsidP="001E53D6">
      <w:pPr>
        <w:pStyle w:val="a3"/>
        <w:jc w:val="both"/>
        <w:rPr>
          <w:sz w:val="27"/>
          <w:lang w:val="kk-KZ"/>
        </w:rPr>
      </w:pPr>
    </w:p>
    <w:p w14:paraId="4BFB97AA" w14:textId="77777777" w:rsidR="00012479" w:rsidRPr="00684578" w:rsidRDefault="00684578" w:rsidP="001E53D6">
      <w:pPr>
        <w:pStyle w:val="11"/>
        <w:numPr>
          <w:ilvl w:val="0"/>
          <w:numId w:val="2"/>
        </w:numPr>
        <w:tabs>
          <w:tab w:val="left" w:pos="663"/>
          <w:tab w:val="left" w:pos="664"/>
        </w:tabs>
        <w:ind w:left="663" w:hanging="472"/>
        <w:jc w:val="both"/>
        <w:rPr>
          <w:lang w:val="kk-KZ"/>
        </w:rPr>
      </w:pPr>
      <w:r w:rsidRPr="00684578">
        <w:rPr>
          <w:lang w:val="kk-KZ"/>
        </w:rPr>
        <w:lastRenderedPageBreak/>
        <w:t>Бонустарды есептеу</w:t>
      </w:r>
    </w:p>
    <w:p w14:paraId="38AE5206" w14:textId="77777777" w:rsidR="00012479" w:rsidRPr="00684578" w:rsidRDefault="00684578" w:rsidP="001E53D6">
      <w:pPr>
        <w:pStyle w:val="a4"/>
        <w:numPr>
          <w:ilvl w:val="1"/>
          <w:numId w:val="2"/>
        </w:numPr>
        <w:tabs>
          <w:tab w:val="left" w:pos="913"/>
          <w:tab w:val="left" w:pos="914"/>
        </w:tabs>
        <w:spacing w:before="84"/>
        <w:ind w:hanging="361"/>
        <w:jc w:val="both"/>
        <w:rPr>
          <w:lang w:val="kk-KZ"/>
        </w:rPr>
      </w:pPr>
      <w:r w:rsidRPr="00684578">
        <w:rPr>
          <w:lang w:val="kk-KZ"/>
        </w:rPr>
        <w:t>Бонустар шотта көрсетілген сомадан есептеледі, есептеу пайызының мөлшері 10% құрайды.</w:t>
      </w:r>
    </w:p>
    <w:p w14:paraId="128D6F46" w14:textId="77777777" w:rsidR="00012479" w:rsidRPr="00684578" w:rsidRDefault="00684578" w:rsidP="001E53D6">
      <w:pPr>
        <w:pStyle w:val="a4"/>
        <w:numPr>
          <w:ilvl w:val="1"/>
          <w:numId w:val="2"/>
        </w:numPr>
        <w:tabs>
          <w:tab w:val="left" w:pos="913"/>
          <w:tab w:val="left" w:pos="914"/>
        </w:tabs>
        <w:spacing w:before="1"/>
        <w:ind w:right="107"/>
        <w:jc w:val="both"/>
        <w:rPr>
          <w:lang w:val="kk-KZ"/>
        </w:rPr>
      </w:pPr>
      <w:r w:rsidRPr="00684578">
        <w:rPr>
          <w:lang w:val="kk-KZ"/>
        </w:rPr>
        <w:t>Егер бір реттік сервистік қызмет көрсету сомасы 300 000 (үш жүз мың) теңгеден астам болса, бонустық аударым мөлшері 15%  құрайды.</w:t>
      </w:r>
    </w:p>
    <w:p w14:paraId="56F281A8" w14:textId="77777777" w:rsidR="00012479" w:rsidRPr="00684578" w:rsidRDefault="00684578" w:rsidP="001E53D6">
      <w:pPr>
        <w:pStyle w:val="a4"/>
        <w:numPr>
          <w:ilvl w:val="1"/>
          <w:numId w:val="2"/>
        </w:numPr>
        <w:tabs>
          <w:tab w:val="left" w:pos="913"/>
          <w:tab w:val="left" w:pos="914"/>
        </w:tabs>
        <w:spacing w:before="3" w:line="237" w:lineRule="auto"/>
        <w:ind w:right="106"/>
        <w:jc w:val="both"/>
        <w:rPr>
          <w:lang w:val="kk-KZ"/>
        </w:rPr>
      </w:pPr>
      <w:r w:rsidRPr="00684578">
        <w:rPr>
          <w:lang w:val="kk-KZ"/>
        </w:rPr>
        <w:t>Егер бір реттік шанақты жөндеу сомасы 700 000 (жеті жүз мың) теңгеден астам болса, бонустық аударым мөлшері 15%  құрайды.</w:t>
      </w:r>
    </w:p>
    <w:p w14:paraId="3064F0D6" w14:textId="77777777" w:rsidR="00012479" w:rsidRPr="00684578" w:rsidRDefault="00684578" w:rsidP="001E53D6">
      <w:pPr>
        <w:pStyle w:val="a4"/>
        <w:numPr>
          <w:ilvl w:val="1"/>
          <w:numId w:val="2"/>
        </w:numPr>
        <w:tabs>
          <w:tab w:val="left" w:pos="913"/>
          <w:tab w:val="left" w:pos="914"/>
        </w:tabs>
        <w:spacing w:before="2"/>
        <w:ind w:hanging="361"/>
        <w:jc w:val="both"/>
        <w:rPr>
          <w:lang w:val="kk-KZ"/>
        </w:rPr>
      </w:pPr>
      <w:r w:rsidRPr="00684578">
        <w:rPr>
          <w:lang w:val="kk-KZ"/>
        </w:rPr>
        <w:t>Жинақталған бонустық ұпайлармен төленген сомаға бонустық ұпайлар есептелмейді.</w:t>
      </w:r>
    </w:p>
    <w:p w14:paraId="2B77FD50" w14:textId="77777777" w:rsidR="00012479" w:rsidRPr="00684578" w:rsidRDefault="00684578" w:rsidP="001E53D6">
      <w:pPr>
        <w:pStyle w:val="a4"/>
        <w:numPr>
          <w:ilvl w:val="1"/>
          <w:numId w:val="2"/>
        </w:numPr>
        <w:tabs>
          <w:tab w:val="left" w:pos="913"/>
          <w:tab w:val="left" w:pos="914"/>
        </w:tabs>
        <w:ind w:hanging="361"/>
        <w:jc w:val="both"/>
        <w:rPr>
          <w:lang w:val="kk-KZ"/>
        </w:rPr>
      </w:pPr>
      <w:r w:rsidRPr="00684578">
        <w:rPr>
          <w:lang w:val="kk-KZ"/>
        </w:rPr>
        <w:t>Акцияларға қатысатын тауарлар мен қызметтерге бонустар есептелмейді</w:t>
      </w:r>
    </w:p>
    <w:p w14:paraId="353DA90D" w14:textId="77777777" w:rsidR="00012479" w:rsidRPr="00684578" w:rsidRDefault="00012479" w:rsidP="001E53D6">
      <w:pPr>
        <w:pStyle w:val="a3"/>
        <w:ind w:left="0" w:firstLine="0"/>
        <w:jc w:val="both"/>
        <w:rPr>
          <w:sz w:val="28"/>
          <w:lang w:val="kk-KZ"/>
        </w:rPr>
      </w:pPr>
    </w:p>
    <w:p w14:paraId="198B1A09" w14:textId="77777777" w:rsidR="00012479" w:rsidRPr="00684578" w:rsidRDefault="00012479" w:rsidP="001E53D6">
      <w:pPr>
        <w:pStyle w:val="a3"/>
        <w:spacing w:before="6"/>
        <w:ind w:left="0" w:firstLine="0"/>
        <w:jc w:val="both"/>
        <w:rPr>
          <w:sz w:val="23"/>
          <w:lang w:val="kk-KZ"/>
        </w:rPr>
      </w:pPr>
    </w:p>
    <w:p w14:paraId="08729B99" w14:textId="77777777" w:rsidR="00012479" w:rsidRPr="00684578" w:rsidRDefault="00684578" w:rsidP="001E53D6">
      <w:pPr>
        <w:pStyle w:val="11"/>
        <w:numPr>
          <w:ilvl w:val="0"/>
          <w:numId w:val="2"/>
        </w:numPr>
        <w:tabs>
          <w:tab w:val="left" w:pos="713"/>
          <w:tab w:val="left" w:pos="715"/>
        </w:tabs>
        <w:spacing w:before="1"/>
        <w:ind w:left="714" w:hanging="472"/>
        <w:jc w:val="both"/>
        <w:rPr>
          <w:lang w:val="kk-KZ"/>
        </w:rPr>
      </w:pPr>
      <w:r w:rsidRPr="00684578">
        <w:rPr>
          <w:lang w:val="kk-KZ"/>
        </w:rPr>
        <w:t>Бонустарды пайдалану</w:t>
      </w:r>
    </w:p>
    <w:p w14:paraId="2FC7E545" w14:textId="77777777" w:rsidR="00012479" w:rsidRPr="00684578" w:rsidRDefault="00012479" w:rsidP="001E53D6">
      <w:pPr>
        <w:pStyle w:val="a3"/>
        <w:spacing w:before="6"/>
        <w:ind w:left="0" w:firstLine="0"/>
        <w:jc w:val="both"/>
        <w:rPr>
          <w:b/>
          <w:sz w:val="29"/>
          <w:lang w:val="kk-KZ"/>
        </w:rPr>
      </w:pPr>
    </w:p>
    <w:p w14:paraId="22B353BF" w14:textId="77777777" w:rsidR="00012479" w:rsidRPr="00684578" w:rsidRDefault="00684578" w:rsidP="001E53D6">
      <w:pPr>
        <w:pStyle w:val="a4"/>
        <w:numPr>
          <w:ilvl w:val="1"/>
          <w:numId w:val="2"/>
        </w:numPr>
        <w:tabs>
          <w:tab w:val="left" w:pos="914"/>
        </w:tabs>
        <w:ind w:right="109"/>
        <w:jc w:val="both"/>
        <w:rPr>
          <w:lang w:val="kk-KZ"/>
        </w:rPr>
      </w:pPr>
      <w:r w:rsidRPr="00684578">
        <w:rPr>
          <w:lang w:val="kk-KZ"/>
        </w:rPr>
        <w:t>Жинақталған бонустық ұпайлармен біржолғы сатып алудың, қызметтің жалпы сомасының (чегінің) 50%-нан аспайтын сомасын төлеуге және картадағы барлық жинақталған бонустардың 50%-дан аспайтын сомасын пайдалануға болады.</w:t>
      </w:r>
    </w:p>
    <w:p w14:paraId="54A08B65" w14:textId="77777777" w:rsidR="00012479" w:rsidRPr="00684578" w:rsidRDefault="00684578" w:rsidP="001E53D6">
      <w:pPr>
        <w:pStyle w:val="a4"/>
        <w:numPr>
          <w:ilvl w:val="1"/>
          <w:numId w:val="2"/>
        </w:numPr>
        <w:tabs>
          <w:tab w:val="left" w:pos="914"/>
        </w:tabs>
        <w:ind w:right="110"/>
        <w:jc w:val="both"/>
        <w:rPr>
          <w:lang w:val="kk-KZ"/>
        </w:rPr>
      </w:pPr>
      <w:r w:rsidRPr="00684578">
        <w:rPr>
          <w:lang w:val="kk-KZ"/>
        </w:rPr>
        <w:t>Арнайы бағамен ұсынылатын акцияларға қатысатын тауарлар мен қызметтерді Бонустық картамен төлеуге болмайды.</w:t>
      </w:r>
    </w:p>
    <w:p w14:paraId="2E1086B2" w14:textId="77777777" w:rsidR="00012479" w:rsidRPr="00684578" w:rsidRDefault="00684578" w:rsidP="001E53D6">
      <w:pPr>
        <w:pStyle w:val="a4"/>
        <w:numPr>
          <w:ilvl w:val="1"/>
          <w:numId w:val="2"/>
        </w:numPr>
        <w:tabs>
          <w:tab w:val="left" w:pos="914"/>
        </w:tabs>
        <w:ind w:right="108"/>
        <w:jc w:val="both"/>
        <w:rPr>
          <w:sz w:val="24"/>
          <w:lang w:val="kk-KZ"/>
        </w:rPr>
      </w:pPr>
      <w:r w:rsidRPr="00684578">
        <w:rPr>
          <w:lang w:val="kk-KZ"/>
        </w:rPr>
        <w:t>Ақауға байланысты аксессуарларды немесе бөлшектерді қайтарған кезде</w:t>
      </w:r>
      <w:r w:rsidRPr="00684578">
        <w:rPr>
          <w:sz w:val="24"/>
          <w:lang w:val="kk-KZ"/>
        </w:rPr>
        <w:t xml:space="preserve"> картаға осы тауарды сатып алған кезде есептен шығарылған бонустар қайтарылады.</w:t>
      </w:r>
    </w:p>
    <w:p w14:paraId="4B0C2ECF" w14:textId="77777777" w:rsidR="00012479" w:rsidRPr="00684578" w:rsidRDefault="00012479" w:rsidP="001E53D6">
      <w:pPr>
        <w:pStyle w:val="a3"/>
        <w:ind w:left="0" w:firstLine="0"/>
        <w:jc w:val="both"/>
        <w:rPr>
          <w:lang w:val="kk-KZ"/>
        </w:rPr>
      </w:pPr>
    </w:p>
    <w:p w14:paraId="2D6C945E" w14:textId="77777777" w:rsidR="00012479" w:rsidRPr="00684578" w:rsidRDefault="00684578" w:rsidP="001E53D6">
      <w:pPr>
        <w:pStyle w:val="11"/>
        <w:numPr>
          <w:ilvl w:val="0"/>
          <w:numId w:val="2"/>
        </w:numPr>
        <w:tabs>
          <w:tab w:val="left" w:pos="695"/>
        </w:tabs>
        <w:ind w:left="694"/>
        <w:jc w:val="both"/>
        <w:rPr>
          <w:lang w:val="kk-KZ"/>
        </w:rPr>
      </w:pPr>
      <w:r>
        <w:rPr>
          <w:lang w:val="kk-KZ"/>
        </w:rPr>
        <w:t>«</w:t>
      </w:r>
      <w:r w:rsidRPr="00684578">
        <w:rPr>
          <w:lang w:val="kk-KZ"/>
        </w:rPr>
        <w:t>ТОЙОТА СИТИ FAMILY</w:t>
      </w:r>
      <w:r>
        <w:rPr>
          <w:lang w:val="kk-KZ"/>
        </w:rPr>
        <w:t>»</w:t>
      </w:r>
      <w:r w:rsidRPr="00684578">
        <w:rPr>
          <w:lang w:val="kk-KZ"/>
        </w:rPr>
        <w:t xml:space="preserve"> бағдарламасының қосымша артықшылықтары</w:t>
      </w:r>
    </w:p>
    <w:p w14:paraId="39849378" w14:textId="77777777" w:rsidR="00012479" w:rsidRPr="00684578" w:rsidRDefault="00012479" w:rsidP="001E53D6">
      <w:pPr>
        <w:pStyle w:val="a3"/>
        <w:ind w:left="0" w:firstLine="0"/>
        <w:jc w:val="both"/>
        <w:rPr>
          <w:b/>
          <w:lang w:val="kk-KZ"/>
        </w:rPr>
      </w:pPr>
    </w:p>
    <w:p w14:paraId="2E1A3AB6" w14:textId="77777777" w:rsidR="00012479" w:rsidRPr="00684578" w:rsidRDefault="00684578" w:rsidP="001E53D6">
      <w:pPr>
        <w:pStyle w:val="a4"/>
        <w:numPr>
          <w:ilvl w:val="1"/>
          <w:numId w:val="2"/>
        </w:numPr>
        <w:tabs>
          <w:tab w:val="left" w:pos="902"/>
        </w:tabs>
        <w:spacing w:before="1"/>
        <w:ind w:left="901" w:right="111" w:hanging="216"/>
        <w:jc w:val="both"/>
        <w:rPr>
          <w:lang w:val="kk-KZ"/>
        </w:rPr>
      </w:pPr>
      <w:r w:rsidRPr="00684578">
        <w:rPr>
          <w:lang w:val="kk-KZ"/>
        </w:rPr>
        <w:t>Бонустық карта ұстаушылар тек карта ұстаушылар үшін арналған әртүрлі акцияларға қатыса алады.</w:t>
      </w:r>
    </w:p>
    <w:p w14:paraId="3F4B22F9" w14:textId="77777777" w:rsidR="00012479" w:rsidRPr="00684578" w:rsidRDefault="00684578" w:rsidP="001E53D6">
      <w:pPr>
        <w:pStyle w:val="a4"/>
        <w:numPr>
          <w:ilvl w:val="0"/>
          <w:numId w:val="1"/>
        </w:numPr>
        <w:tabs>
          <w:tab w:val="left" w:pos="902"/>
        </w:tabs>
        <w:ind w:right="105"/>
        <w:jc w:val="both"/>
        <w:rPr>
          <w:lang w:val="kk-KZ"/>
        </w:rPr>
      </w:pPr>
      <w:r w:rsidRPr="00684578">
        <w:rPr>
          <w:lang w:val="kk-KZ"/>
        </w:rPr>
        <w:t>Бонустық карта ұстаушылары Тойота Сити автоорталығының арнайы ұсыныстары туралы смс хабарлама және электрондық таратулар арқылы хабардар етіледі.</w:t>
      </w:r>
    </w:p>
    <w:p w14:paraId="40896F8B" w14:textId="77777777" w:rsidR="00012479" w:rsidRPr="00684578" w:rsidRDefault="00684578" w:rsidP="001E53D6">
      <w:pPr>
        <w:pStyle w:val="a4"/>
        <w:numPr>
          <w:ilvl w:val="0"/>
          <w:numId w:val="1"/>
        </w:numPr>
        <w:tabs>
          <w:tab w:val="left" w:pos="902"/>
        </w:tabs>
        <w:ind w:left="620" w:right="112" w:firstLine="0"/>
        <w:jc w:val="both"/>
        <w:rPr>
          <w:lang w:val="kk-KZ"/>
        </w:rPr>
      </w:pPr>
      <w:r w:rsidRPr="00684578">
        <w:rPr>
          <w:lang w:val="kk-KZ"/>
        </w:rPr>
        <w:t>Бонустық карта ұстаушылар бонустық қаражатты пайдалану туралы мәліметтерді баспа түрінде сұрай алады.</w:t>
      </w:r>
    </w:p>
    <w:p w14:paraId="7388ED1A" w14:textId="77777777" w:rsidR="00012479" w:rsidRPr="00684578" w:rsidRDefault="00684578" w:rsidP="001E53D6">
      <w:pPr>
        <w:pStyle w:val="a4"/>
        <w:numPr>
          <w:ilvl w:val="0"/>
          <w:numId w:val="1"/>
        </w:numPr>
        <w:tabs>
          <w:tab w:val="left" w:pos="902"/>
        </w:tabs>
        <w:ind w:left="620" w:right="107" w:firstLine="0"/>
        <w:jc w:val="both"/>
        <w:rPr>
          <w:lang w:val="kk-KZ"/>
        </w:rPr>
      </w:pPr>
      <w:r w:rsidRPr="00684578">
        <w:rPr>
          <w:lang w:val="kk-KZ"/>
        </w:rPr>
        <w:t>Компания бонустық карта иелері үшін басқа акциялар мен артықшылықтарды әзірлеу құқығын өзіне қалдырады.</w:t>
      </w:r>
    </w:p>
    <w:p w14:paraId="66FCF4D4" w14:textId="77777777" w:rsidR="00012479" w:rsidRPr="00684578" w:rsidRDefault="00012479" w:rsidP="001E53D6">
      <w:pPr>
        <w:pStyle w:val="a3"/>
        <w:spacing w:before="10"/>
        <w:ind w:left="0" w:firstLine="0"/>
        <w:jc w:val="both"/>
        <w:rPr>
          <w:sz w:val="21"/>
          <w:lang w:val="kk-KZ"/>
        </w:rPr>
      </w:pPr>
    </w:p>
    <w:p w14:paraId="114968EC" w14:textId="77777777" w:rsidR="00012479" w:rsidRPr="00684578" w:rsidRDefault="00684578" w:rsidP="001E53D6">
      <w:pPr>
        <w:pStyle w:val="11"/>
        <w:numPr>
          <w:ilvl w:val="0"/>
          <w:numId w:val="2"/>
        </w:numPr>
        <w:tabs>
          <w:tab w:val="left" w:pos="695"/>
        </w:tabs>
        <w:ind w:left="694"/>
        <w:jc w:val="both"/>
        <w:rPr>
          <w:lang w:val="kk-KZ"/>
        </w:rPr>
      </w:pPr>
      <w:r w:rsidRPr="00684578">
        <w:rPr>
          <w:lang w:val="kk-KZ"/>
        </w:rPr>
        <w:t>Басқа шарттар</w:t>
      </w:r>
    </w:p>
    <w:p w14:paraId="484ADB88" w14:textId="77777777" w:rsidR="00012479" w:rsidRPr="00684578" w:rsidRDefault="00012479" w:rsidP="001E53D6">
      <w:pPr>
        <w:pStyle w:val="a3"/>
        <w:spacing w:before="1"/>
        <w:ind w:left="0" w:firstLine="0"/>
        <w:jc w:val="both"/>
        <w:rPr>
          <w:b/>
          <w:lang w:val="kk-KZ"/>
        </w:rPr>
      </w:pPr>
    </w:p>
    <w:p w14:paraId="7AD4DA47" w14:textId="77777777" w:rsidR="00012479" w:rsidRPr="00684578" w:rsidRDefault="00684578" w:rsidP="001E53D6">
      <w:pPr>
        <w:pStyle w:val="a4"/>
        <w:numPr>
          <w:ilvl w:val="1"/>
          <w:numId w:val="2"/>
        </w:numPr>
        <w:tabs>
          <w:tab w:val="left" w:pos="902"/>
        </w:tabs>
        <w:ind w:left="901" w:right="104"/>
        <w:jc w:val="both"/>
        <w:rPr>
          <w:lang w:val="kk-KZ"/>
        </w:rPr>
      </w:pPr>
      <w:r w:rsidRPr="00684578">
        <w:rPr>
          <w:lang w:val="kk-KZ"/>
        </w:rPr>
        <w:t>Бонустық карта жоғалған немесе бүлінген жағдайда клиентке жаңа бонустық карта берілуі мүмкін немесе бонустық картаны қалпына келтіруге өтініш толтырылған және жеке басын куәландыратын құжат ұсынылған кезде бүлінген картаны ауыстыру жүргізілуі мүмкін.</w:t>
      </w:r>
    </w:p>
    <w:p w14:paraId="52C6C8E2" w14:textId="77777777" w:rsidR="00012479" w:rsidRPr="00684578" w:rsidRDefault="00684578" w:rsidP="001E53D6">
      <w:pPr>
        <w:pStyle w:val="a4"/>
        <w:numPr>
          <w:ilvl w:val="1"/>
          <w:numId w:val="2"/>
        </w:numPr>
        <w:tabs>
          <w:tab w:val="left" w:pos="902"/>
        </w:tabs>
        <w:spacing w:before="1"/>
        <w:ind w:left="901" w:right="106"/>
        <w:jc w:val="both"/>
        <w:rPr>
          <w:lang w:val="kk-KZ"/>
        </w:rPr>
      </w:pPr>
      <w:r w:rsidRPr="00684578">
        <w:rPr>
          <w:lang w:val="kk-KZ"/>
        </w:rPr>
        <w:t>Клиенттің өтінімі бойынша жоғалған бонустық карта жеке куәлікті көрсеткен кезде үш күн ішінде бұғатталуы мүмкін.</w:t>
      </w:r>
    </w:p>
    <w:p w14:paraId="2F155FF1" w14:textId="77777777" w:rsidR="00012479" w:rsidRPr="00684578" w:rsidRDefault="00684578" w:rsidP="001E53D6">
      <w:pPr>
        <w:pStyle w:val="a4"/>
        <w:numPr>
          <w:ilvl w:val="1"/>
          <w:numId w:val="2"/>
        </w:numPr>
        <w:tabs>
          <w:tab w:val="left" w:pos="902"/>
        </w:tabs>
        <w:spacing w:line="279" w:lineRule="exact"/>
        <w:ind w:left="901" w:hanging="361"/>
        <w:jc w:val="both"/>
        <w:rPr>
          <w:lang w:val="kk-KZ"/>
        </w:rPr>
      </w:pPr>
      <w:r w:rsidRPr="00684578">
        <w:rPr>
          <w:lang w:val="kk-KZ"/>
        </w:rPr>
        <w:t>Жоғалған картада жинақталған бонустардың сомасы жаңа бонустық картаға көшіріледі.</w:t>
      </w:r>
    </w:p>
    <w:p w14:paraId="620E7239" w14:textId="77777777" w:rsidR="00012479" w:rsidRPr="00684578" w:rsidRDefault="00684578" w:rsidP="001E53D6">
      <w:pPr>
        <w:pStyle w:val="a4"/>
        <w:numPr>
          <w:ilvl w:val="1"/>
          <w:numId w:val="2"/>
        </w:numPr>
        <w:tabs>
          <w:tab w:val="left" w:pos="901"/>
          <w:tab w:val="left" w:pos="902"/>
        </w:tabs>
        <w:spacing w:before="1"/>
        <w:ind w:left="901" w:right="485"/>
        <w:jc w:val="both"/>
        <w:rPr>
          <w:lang w:val="kk-KZ"/>
        </w:rPr>
      </w:pPr>
      <w:r w:rsidRPr="00684578">
        <w:rPr>
          <w:lang w:val="kk-KZ"/>
        </w:rPr>
        <w:t>Егер Сіздің бонустық картаңыз бүлінген немесе зақымдалған болса, картаны ауыстыру үшін Алматы қ. Тойота Сити автоорталығына хабарласыңыз. Жинақталған бонустар сақталады.</w:t>
      </w:r>
    </w:p>
    <w:p w14:paraId="5F40CE18" w14:textId="77777777" w:rsidR="00012479" w:rsidRPr="00684578" w:rsidRDefault="00684578" w:rsidP="001E53D6">
      <w:pPr>
        <w:pStyle w:val="a4"/>
        <w:numPr>
          <w:ilvl w:val="1"/>
          <w:numId w:val="2"/>
        </w:numPr>
        <w:tabs>
          <w:tab w:val="left" w:pos="901"/>
          <w:tab w:val="left" w:pos="902"/>
        </w:tabs>
        <w:spacing w:before="1"/>
        <w:ind w:left="901" w:right="107"/>
        <w:jc w:val="both"/>
        <w:rPr>
          <w:lang w:val="kk-KZ"/>
        </w:rPr>
      </w:pPr>
      <w:r w:rsidRPr="00684578">
        <w:rPr>
          <w:lang w:val="kk-KZ"/>
        </w:rPr>
        <w:t>Жеке куәлікте көрсетілген деректер жүйеде көрсетілген деректермен сәйкес келмеген жағдайда карта қалпына келтірілмейді.</w:t>
      </w:r>
    </w:p>
    <w:p w14:paraId="542F634E" w14:textId="77777777" w:rsidR="00012479" w:rsidRPr="00684578" w:rsidRDefault="00684578" w:rsidP="001E53D6">
      <w:pPr>
        <w:pStyle w:val="a4"/>
        <w:numPr>
          <w:ilvl w:val="1"/>
          <w:numId w:val="2"/>
        </w:numPr>
        <w:tabs>
          <w:tab w:val="left" w:pos="901"/>
          <w:tab w:val="left" w:pos="902"/>
        </w:tabs>
        <w:spacing w:line="279" w:lineRule="exact"/>
        <w:ind w:left="901" w:hanging="361"/>
        <w:jc w:val="both"/>
        <w:rPr>
          <w:lang w:val="kk-KZ"/>
        </w:rPr>
      </w:pPr>
      <w:r w:rsidRPr="00684578">
        <w:rPr>
          <w:lang w:val="kk-KZ"/>
        </w:rPr>
        <w:t xml:space="preserve">Тойота Сити автоорталығы </w:t>
      </w:r>
      <w:r>
        <w:rPr>
          <w:lang w:val="kk-KZ"/>
        </w:rPr>
        <w:t>«</w:t>
      </w:r>
      <w:r w:rsidRPr="00684578">
        <w:rPr>
          <w:lang w:val="kk-KZ"/>
        </w:rPr>
        <w:t>ТОЙОТА СИТИ FAMILY</w:t>
      </w:r>
      <w:r>
        <w:rPr>
          <w:lang w:val="kk-KZ"/>
        </w:rPr>
        <w:t>»</w:t>
      </w:r>
      <w:r w:rsidRPr="00684578">
        <w:rPr>
          <w:lang w:val="kk-KZ"/>
        </w:rPr>
        <w:t xml:space="preserve">  адалдық бағдарламасының шарттарын </w:t>
      </w:r>
    </w:p>
    <w:p w14:paraId="39019974" w14:textId="77777777" w:rsidR="00012479" w:rsidRPr="00684578" w:rsidRDefault="00684578" w:rsidP="001E53D6">
      <w:pPr>
        <w:pStyle w:val="a3"/>
        <w:ind w:left="901" w:right="109" w:firstLine="0"/>
        <w:jc w:val="both"/>
        <w:rPr>
          <w:lang w:val="kk-KZ"/>
        </w:rPr>
      </w:pPr>
      <w:r w:rsidRPr="00684578">
        <w:rPr>
          <w:lang w:val="kk-KZ"/>
        </w:rPr>
        <w:t xml:space="preserve"> біржақты тәртіпте қатысушыларды дербес хабардар етпей өзгерту құқығын өзіне қалдырады, өзгерістер туралы ақпарат мына сайтта қолжетімді </w:t>
      </w:r>
      <w:r w:rsidR="00000000">
        <w:fldChar w:fldCharType="begin"/>
      </w:r>
      <w:r w:rsidR="00000000" w:rsidRPr="001E53D6">
        <w:rPr>
          <w:lang w:val="kk-KZ"/>
        </w:rPr>
        <w:instrText>HYPERLINK "http://www.toyota-city.kz/"</w:instrText>
      </w:r>
      <w:r w:rsidR="00000000">
        <w:fldChar w:fldCharType="separate"/>
      </w:r>
      <w:r w:rsidRPr="00684578">
        <w:rPr>
          <w:lang w:val="kk-KZ"/>
        </w:rPr>
        <w:t>www.toyota-city.kz.</w:t>
      </w:r>
      <w:r w:rsidR="00000000">
        <w:rPr>
          <w:lang w:val="kk-KZ"/>
        </w:rPr>
        <w:fldChar w:fldCharType="end"/>
      </w:r>
    </w:p>
    <w:p w14:paraId="0D68C31F" w14:textId="77777777" w:rsidR="00012479" w:rsidRPr="00684578" w:rsidRDefault="00684578" w:rsidP="001E53D6">
      <w:pPr>
        <w:pStyle w:val="a4"/>
        <w:numPr>
          <w:ilvl w:val="1"/>
          <w:numId w:val="2"/>
        </w:numPr>
        <w:tabs>
          <w:tab w:val="left" w:pos="902"/>
        </w:tabs>
        <w:spacing w:before="1"/>
        <w:ind w:left="901" w:right="108"/>
        <w:jc w:val="both"/>
        <w:rPr>
          <w:lang w:val="kk-KZ"/>
        </w:rPr>
      </w:pPr>
      <w:r w:rsidRPr="00684578">
        <w:rPr>
          <w:lang w:val="kk-KZ"/>
        </w:rPr>
        <w:t>Бонустық карта Тойота Сити автоорталығының меншігі болып табылады және оның бірінші талабы бойынша иесіне өтеусіз қайтарылуы керек.</w:t>
      </w:r>
    </w:p>
    <w:p w14:paraId="071236C9" w14:textId="77777777" w:rsidR="00012479" w:rsidRPr="00684578" w:rsidRDefault="00684578" w:rsidP="001E53D6">
      <w:pPr>
        <w:pStyle w:val="a4"/>
        <w:numPr>
          <w:ilvl w:val="1"/>
          <w:numId w:val="2"/>
        </w:numPr>
        <w:tabs>
          <w:tab w:val="left" w:pos="902"/>
        </w:tabs>
        <w:spacing w:before="1"/>
        <w:ind w:left="901" w:right="105"/>
        <w:jc w:val="both"/>
        <w:rPr>
          <w:lang w:val="kk-KZ"/>
        </w:rPr>
      </w:pPr>
      <w:r w:rsidRPr="00684578">
        <w:rPr>
          <w:lang w:val="kk-KZ"/>
        </w:rPr>
        <w:t>Жалған (дәл емес, дұрыс емес) мәліметтерді көрсеткені, сондай-ақ ескірген мәліметтерді уақтылы өзгертпегені үшін ТОЙОТА СИТИ FAMILY бонустық картасының ұстаушысы жауапты болады. Компания қате байланыс деректері бар бонустық картаны бұғаттау құқығын өзіне қалдырады.</w:t>
      </w:r>
    </w:p>
    <w:p w14:paraId="60CC6B2C" w14:textId="644091EA" w:rsidR="00012479" w:rsidRDefault="00012479" w:rsidP="001E53D6">
      <w:pPr>
        <w:pStyle w:val="a3"/>
        <w:spacing w:before="11"/>
        <w:ind w:left="0" w:firstLine="0"/>
        <w:jc w:val="both"/>
        <w:rPr>
          <w:sz w:val="21"/>
          <w:lang w:val="kk-KZ"/>
        </w:rPr>
      </w:pPr>
    </w:p>
    <w:p w14:paraId="1C2A98D3" w14:textId="29358FD3" w:rsidR="001E53D6" w:rsidRDefault="001E53D6" w:rsidP="001E53D6">
      <w:pPr>
        <w:pStyle w:val="a3"/>
        <w:spacing w:before="11"/>
        <w:ind w:left="0" w:firstLine="0"/>
        <w:jc w:val="both"/>
        <w:rPr>
          <w:sz w:val="21"/>
          <w:lang w:val="kk-KZ"/>
        </w:rPr>
      </w:pPr>
    </w:p>
    <w:p w14:paraId="06DB5BD6" w14:textId="77777777" w:rsidR="001E53D6" w:rsidRPr="00684578" w:rsidRDefault="001E53D6" w:rsidP="001E53D6">
      <w:pPr>
        <w:pStyle w:val="a3"/>
        <w:spacing w:before="11"/>
        <w:ind w:left="0" w:firstLine="0"/>
        <w:jc w:val="both"/>
        <w:rPr>
          <w:sz w:val="21"/>
          <w:lang w:val="kk-KZ"/>
        </w:rPr>
      </w:pPr>
    </w:p>
    <w:p w14:paraId="1D3872FE" w14:textId="77777777" w:rsidR="00012479" w:rsidRPr="00684578" w:rsidRDefault="00684578" w:rsidP="001E53D6">
      <w:pPr>
        <w:pStyle w:val="11"/>
        <w:numPr>
          <w:ilvl w:val="0"/>
          <w:numId w:val="2"/>
        </w:numPr>
        <w:tabs>
          <w:tab w:val="left" w:pos="695"/>
        </w:tabs>
        <w:ind w:left="694" w:right="382" w:hanging="360"/>
        <w:jc w:val="both"/>
        <w:rPr>
          <w:lang w:val="kk-KZ"/>
        </w:rPr>
      </w:pPr>
      <w:r w:rsidRPr="00684578">
        <w:rPr>
          <w:lang w:val="kk-KZ"/>
        </w:rPr>
        <w:lastRenderedPageBreak/>
        <w:t>Бонустық картаны жұмыс күйінде ұстау үшін келесі сақтық шараларын қолдануды ұсынамыз:</w:t>
      </w:r>
    </w:p>
    <w:p w14:paraId="19A0455B" w14:textId="77777777" w:rsidR="00012479" w:rsidRPr="00684578" w:rsidRDefault="00012479" w:rsidP="001E53D6">
      <w:pPr>
        <w:pStyle w:val="a3"/>
        <w:spacing w:before="1"/>
        <w:ind w:left="0" w:firstLine="0"/>
        <w:jc w:val="both"/>
        <w:rPr>
          <w:b/>
          <w:lang w:val="kk-KZ"/>
        </w:rPr>
      </w:pPr>
    </w:p>
    <w:p w14:paraId="349167AF" w14:textId="77777777" w:rsidR="00012479" w:rsidRPr="00684578" w:rsidRDefault="00684578" w:rsidP="001E53D6">
      <w:pPr>
        <w:pStyle w:val="a4"/>
        <w:numPr>
          <w:ilvl w:val="1"/>
          <w:numId w:val="2"/>
        </w:numPr>
        <w:tabs>
          <w:tab w:val="left" w:pos="901"/>
          <w:tab w:val="left" w:pos="902"/>
        </w:tabs>
        <w:ind w:left="901" w:hanging="361"/>
        <w:jc w:val="both"/>
        <w:rPr>
          <w:lang w:val="kk-KZ"/>
        </w:rPr>
      </w:pPr>
      <w:r w:rsidRPr="00684578">
        <w:rPr>
          <w:lang w:val="kk-KZ"/>
        </w:rPr>
        <w:t xml:space="preserve">Картаны күшті электромагниттік өрістердің әсерінен қорғаңыз. Оны </w:t>
      </w:r>
    </w:p>
    <w:p w14:paraId="4943842F" w14:textId="77777777" w:rsidR="00012479" w:rsidRPr="00684578" w:rsidRDefault="00684578" w:rsidP="001E53D6">
      <w:pPr>
        <w:pStyle w:val="a3"/>
        <w:spacing w:before="1"/>
        <w:ind w:left="901" w:firstLine="0"/>
        <w:jc w:val="both"/>
        <w:rPr>
          <w:lang w:val="kk-KZ"/>
        </w:rPr>
      </w:pPr>
      <w:r w:rsidRPr="00684578">
        <w:rPr>
          <w:lang w:val="kk-KZ"/>
        </w:rPr>
        <w:t xml:space="preserve">ұялы телефондарға, колонкаларға, аудио-бейне аппаратурасына және т. б. жақын жерде </w:t>
      </w:r>
      <w:proofErr w:type="spellStart"/>
      <w:r w:rsidRPr="001E53D6">
        <w:t>ұстамаңыз</w:t>
      </w:r>
      <w:proofErr w:type="spellEnd"/>
      <w:r w:rsidRPr="00684578">
        <w:rPr>
          <w:lang w:val="kk-KZ"/>
        </w:rPr>
        <w:t>.</w:t>
      </w:r>
    </w:p>
    <w:p w14:paraId="3E6AE9AF" w14:textId="77777777" w:rsidR="00012479" w:rsidRPr="00684578" w:rsidRDefault="00684578" w:rsidP="001E53D6">
      <w:pPr>
        <w:pStyle w:val="a3"/>
        <w:spacing w:before="44"/>
        <w:ind w:left="901" w:right="924" w:firstLine="0"/>
        <w:jc w:val="both"/>
        <w:rPr>
          <w:lang w:val="kk-KZ"/>
        </w:rPr>
      </w:pPr>
      <w:r w:rsidRPr="00684578">
        <w:rPr>
          <w:lang w:val="kk-KZ"/>
        </w:rPr>
        <w:t>Барлық бұл құрылғылар магниттік карталарды магниттік әмияндар ілгектері мен сөмкелер сияқты магнитсіздендіре алады.</w:t>
      </w:r>
    </w:p>
    <w:p w14:paraId="2693A349" w14:textId="77777777" w:rsidR="00012479" w:rsidRPr="00684578" w:rsidRDefault="00684578" w:rsidP="001E53D6">
      <w:pPr>
        <w:pStyle w:val="a4"/>
        <w:numPr>
          <w:ilvl w:val="1"/>
          <w:numId w:val="2"/>
        </w:numPr>
        <w:tabs>
          <w:tab w:val="left" w:pos="901"/>
          <w:tab w:val="left" w:pos="902"/>
        </w:tabs>
        <w:spacing w:before="1"/>
        <w:ind w:left="901" w:right="1363"/>
        <w:jc w:val="both"/>
        <w:rPr>
          <w:lang w:val="kk-KZ"/>
        </w:rPr>
      </w:pPr>
      <w:r w:rsidRPr="00684578">
        <w:rPr>
          <w:lang w:val="kk-KZ"/>
        </w:rPr>
        <w:t>Картаны күн мен жоғары температура аймағында қалдырмаңыз (ашық от, жылыту құрылғылары және т. б. жанында)</w:t>
      </w:r>
    </w:p>
    <w:p w14:paraId="08EBF0A7" w14:textId="77777777" w:rsidR="00012479" w:rsidRPr="00684578" w:rsidRDefault="00684578" w:rsidP="001E53D6">
      <w:pPr>
        <w:pStyle w:val="a4"/>
        <w:numPr>
          <w:ilvl w:val="1"/>
          <w:numId w:val="2"/>
        </w:numPr>
        <w:tabs>
          <w:tab w:val="left" w:pos="901"/>
          <w:tab w:val="left" w:pos="902"/>
        </w:tabs>
        <w:ind w:left="901" w:right="238"/>
        <w:jc w:val="both"/>
        <w:rPr>
          <w:lang w:val="kk-KZ"/>
        </w:rPr>
      </w:pPr>
      <w:r w:rsidRPr="00684578">
        <w:rPr>
          <w:lang w:val="kk-KZ"/>
        </w:rPr>
        <w:t>Магниттік жолақ аймағында картаның бетіне механикалық әсер етуіне жол бермеңіз және зақым келтірмеңіз  (сызаттар, кесулер, картаның сынуы және т.б.).</w:t>
      </w:r>
    </w:p>
    <w:p w14:paraId="5E7BF4EF" w14:textId="77777777" w:rsidR="00012479" w:rsidRPr="00684578" w:rsidRDefault="00684578" w:rsidP="001E53D6">
      <w:pPr>
        <w:pStyle w:val="a4"/>
        <w:numPr>
          <w:ilvl w:val="1"/>
          <w:numId w:val="2"/>
        </w:numPr>
        <w:tabs>
          <w:tab w:val="left" w:pos="901"/>
          <w:tab w:val="left" w:pos="902"/>
        </w:tabs>
        <w:ind w:left="901" w:right="408"/>
        <w:jc w:val="both"/>
        <w:rPr>
          <w:lang w:val="kk-KZ"/>
        </w:rPr>
      </w:pPr>
      <w:r w:rsidRPr="00684578">
        <w:rPr>
          <w:lang w:val="kk-KZ"/>
        </w:rPr>
        <w:t>Картаны сұйықтықтар, әртүрлі қышқылдар, сілтілер, мұнай өнімдері және т. б. әсеріне ұшыратпаңыз.</w:t>
      </w:r>
    </w:p>
    <w:p w14:paraId="54704C7D" w14:textId="77777777" w:rsidR="00012479" w:rsidRPr="00684578" w:rsidRDefault="00684578" w:rsidP="001E53D6">
      <w:pPr>
        <w:pStyle w:val="a4"/>
        <w:numPr>
          <w:ilvl w:val="1"/>
          <w:numId w:val="2"/>
        </w:numPr>
        <w:tabs>
          <w:tab w:val="left" w:pos="901"/>
          <w:tab w:val="left" w:pos="902"/>
        </w:tabs>
        <w:ind w:left="901" w:right="1195"/>
        <w:jc w:val="both"/>
        <w:rPr>
          <w:lang w:val="kk-KZ"/>
        </w:rPr>
      </w:pPr>
      <w:r w:rsidRPr="00684578">
        <w:rPr>
          <w:lang w:val="kk-KZ"/>
        </w:rPr>
        <w:t>Картаны тек оның мақсатына сай пайдаланыңыз. Банкоматтарда, таксофондарда және т.б. BONUS-CARD пайдаланбаңыз, себебі бұл картаның толық істен шығуына әкеледі.</w:t>
      </w:r>
    </w:p>
    <w:sectPr w:rsidR="00012479" w:rsidRPr="00684578" w:rsidSect="001E53D6">
      <w:pgSz w:w="11910" w:h="16840"/>
      <w:pgMar w:top="993" w:right="74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A7761"/>
    <w:multiLevelType w:val="hybridMultilevel"/>
    <w:tmpl w:val="00000000"/>
    <w:lvl w:ilvl="0" w:tplc="CD303E18">
      <w:start w:val="1"/>
      <w:numFmt w:val="decimal"/>
      <w:lvlText w:val="%1."/>
      <w:lvlJc w:val="left"/>
      <w:pPr>
        <w:ind w:left="476" w:hanging="361"/>
        <w:jc w:val="right"/>
      </w:pPr>
      <w:rPr>
        <w:rFonts w:ascii="Calibri" w:eastAsia="Calibri" w:hAnsi="Calibri" w:cs="Calibri" w:hint="default"/>
        <w:b/>
        <w:bCs/>
        <w:w w:val="100"/>
        <w:sz w:val="22"/>
        <w:szCs w:val="22"/>
        <w:lang w:eastAsia="en-US" w:bidi="ar-SA"/>
      </w:rPr>
    </w:lvl>
    <w:lvl w:ilvl="1" w:tplc="ADA4F4D2">
      <w:numFmt w:val="bullet"/>
      <w:lvlText w:val=""/>
      <w:lvlJc w:val="left"/>
      <w:pPr>
        <w:ind w:left="913" w:hanging="360"/>
      </w:pPr>
      <w:rPr>
        <w:rFonts w:ascii="Symbol" w:eastAsia="Symbol" w:hAnsi="Symbol" w:cs="Symbol" w:hint="default"/>
        <w:w w:val="100"/>
        <w:sz w:val="22"/>
        <w:szCs w:val="22"/>
        <w:lang w:eastAsia="en-US" w:bidi="ar-SA"/>
      </w:rPr>
    </w:lvl>
    <w:lvl w:ilvl="2" w:tplc="DC6A6F7C">
      <w:numFmt w:val="bullet"/>
      <w:lvlText w:val="•"/>
      <w:lvlJc w:val="left"/>
      <w:pPr>
        <w:ind w:left="920" w:hanging="360"/>
      </w:pPr>
      <w:rPr>
        <w:rFonts w:hint="default"/>
        <w:lang w:eastAsia="en-US" w:bidi="ar-SA"/>
      </w:rPr>
    </w:lvl>
    <w:lvl w:ilvl="3" w:tplc="51EE670E">
      <w:numFmt w:val="bullet"/>
      <w:lvlText w:val="•"/>
      <w:lvlJc w:val="left"/>
      <w:pPr>
        <w:ind w:left="2083" w:hanging="360"/>
      </w:pPr>
      <w:rPr>
        <w:rFonts w:hint="default"/>
        <w:lang w:eastAsia="en-US" w:bidi="ar-SA"/>
      </w:rPr>
    </w:lvl>
    <w:lvl w:ilvl="4" w:tplc="11D4427A">
      <w:numFmt w:val="bullet"/>
      <w:lvlText w:val="•"/>
      <w:lvlJc w:val="left"/>
      <w:pPr>
        <w:ind w:left="3246" w:hanging="360"/>
      </w:pPr>
      <w:rPr>
        <w:rFonts w:hint="default"/>
        <w:lang w:eastAsia="en-US" w:bidi="ar-SA"/>
      </w:rPr>
    </w:lvl>
    <w:lvl w:ilvl="5" w:tplc="A2F2C8DA">
      <w:numFmt w:val="bullet"/>
      <w:lvlText w:val="•"/>
      <w:lvlJc w:val="left"/>
      <w:pPr>
        <w:ind w:left="4409" w:hanging="360"/>
      </w:pPr>
      <w:rPr>
        <w:rFonts w:hint="default"/>
        <w:lang w:eastAsia="en-US" w:bidi="ar-SA"/>
      </w:rPr>
    </w:lvl>
    <w:lvl w:ilvl="6" w:tplc="CDBAD6AA">
      <w:numFmt w:val="bullet"/>
      <w:lvlText w:val="•"/>
      <w:lvlJc w:val="left"/>
      <w:pPr>
        <w:ind w:left="5573" w:hanging="360"/>
      </w:pPr>
      <w:rPr>
        <w:rFonts w:hint="default"/>
        <w:lang w:eastAsia="en-US" w:bidi="ar-SA"/>
      </w:rPr>
    </w:lvl>
    <w:lvl w:ilvl="7" w:tplc="CDC6BD7A">
      <w:numFmt w:val="bullet"/>
      <w:lvlText w:val="•"/>
      <w:lvlJc w:val="left"/>
      <w:pPr>
        <w:ind w:left="6736" w:hanging="360"/>
      </w:pPr>
      <w:rPr>
        <w:rFonts w:hint="default"/>
        <w:lang w:eastAsia="en-US" w:bidi="ar-SA"/>
      </w:rPr>
    </w:lvl>
    <w:lvl w:ilvl="8" w:tplc="8F4AB3C4">
      <w:numFmt w:val="bullet"/>
      <w:lvlText w:val="•"/>
      <w:lvlJc w:val="left"/>
      <w:pPr>
        <w:ind w:left="7899" w:hanging="360"/>
      </w:pPr>
      <w:rPr>
        <w:rFonts w:hint="default"/>
        <w:lang w:eastAsia="en-US" w:bidi="ar-SA"/>
      </w:rPr>
    </w:lvl>
  </w:abstractNum>
  <w:abstractNum w:abstractNumId="1" w15:restartNumberingAfterBreak="0">
    <w:nsid w:val="5EC10C10"/>
    <w:multiLevelType w:val="hybridMultilevel"/>
    <w:tmpl w:val="00000000"/>
    <w:lvl w:ilvl="0" w:tplc="64B61D32">
      <w:numFmt w:val="bullet"/>
      <w:lvlText w:val=""/>
      <w:lvlJc w:val="left"/>
      <w:pPr>
        <w:ind w:left="901" w:hanging="281"/>
      </w:pPr>
      <w:rPr>
        <w:rFonts w:ascii="Symbol" w:eastAsia="Symbol" w:hAnsi="Symbol" w:cs="Symbol" w:hint="default"/>
        <w:w w:val="100"/>
        <w:sz w:val="22"/>
        <w:szCs w:val="22"/>
        <w:lang w:eastAsia="en-US" w:bidi="ar-SA"/>
      </w:rPr>
    </w:lvl>
    <w:lvl w:ilvl="1" w:tplc="6F8CE3D6">
      <w:numFmt w:val="bullet"/>
      <w:lvlText w:val="•"/>
      <w:lvlJc w:val="left"/>
      <w:pPr>
        <w:ind w:left="1832" w:hanging="281"/>
      </w:pPr>
      <w:rPr>
        <w:rFonts w:hint="default"/>
        <w:lang w:eastAsia="en-US" w:bidi="ar-SA"/>
      </w:rPr>
    </w:lvl>
    <w:lvl w:ilvl="2" w:tplc="37B0A2AC">
      <w:numFmt w:val="bullet"/>
      <w:lvlText w:val="•"/>
      <w:lvlJc w:val="left"/>
      <w:pPr>
        <w:ind w:left="2765" w:hanging="281"/>
      </w:pPr>
      <w:rPr>
        <w:rFonts w:hint="default"/>
        <w:lang w:eastAsia="en-US" w:bidi="ar-SA"/>
      </w:rPr>
    </w:lvl>
    <w:lvl w:ilvl="3" w:tplc="1B4A6862">
      <w:numFmt w:val="bullet"/>
      <w:lvlText w:val="•"/>
      <w:lvlJc w:val="left"/>
      <w:pPr>
        <w:ind w:left="3697" w:hanging="281"/>
      </w:pPr>
      <w:rPr>
        <w:rFonts w:hint="default"/>
        <w:lang w:eastAsia="en-US" w:bidi="ar-SA"/>
      </w:rPr>
    </w:lvl>
    <w:lvl w:ilvl="4" w:tplc="DCFC48B0">
      <w:numFmt w:val="bullet"/>
      <w:lvlText w:val="•"/>
      <w:lvlJc w:val="left"/>
      <w:pPr>
        <w:ind w:left="4630" w:hanging="281"/>
      </w:pPr>
      <w:rPr>
        <w:rFonts w:hint="default"/>
        <w:lang w:eastAsia="en-US" w:bidi="ar-SA"/>
      </w:rPr>
    </w:lvl>
    <w:lvl w:ilvl="5" w:tplc="E72C189C">
      <w:numFmt w:val="bullet"/>
      <w:lvlText w:val="•"/>
      <w:lvlJc w:val="left"/>
      <w:pPr>
        <w:ind w:left="5563" w:hanging="281"/>
      </w:pPr>
      <w:rPr>
        <w:rFonts w:hint="default"/>
        <w:lang w:eastAsia="en-US" w:bidi="ar-SA"/>
      </w:rPr>
    </w:lvl>
    <w:lvl w:ilvl="6" w:tplc="7CB23876">
      <w:numFmt w:val="bullet"/>
      <w:lvlText w:val="•"/>
      <w:lvlJc w:val="left"/>
      <w:pPr>
        <w:ind w:left="6495" w:hanging="281"/>
      </w:pPr>
      <w:rPr>
        <w:rFonts w:hint="default"/>
        <w:lang w:eastAsia="en-US" w:bidi="ar-SA"/>
      </w:rPr>
    </w:lvl>
    <w:lvl w:ilvl="7" w:tplc="67826684">
      <w:numFmt w:val="bullet"/>
      <w:lvlText w:val="•"/>
      <w:lvlJc w:val="left"/>
      <w:pPr>
        <w:ind w:left="7428" w:hanging="281"/>
      </w:pPr>
      <w:rPr>
        <w:rFonts w:hint="default"/>
        <w:lang w:eastAsia="en-US" w:bidi="ar-SA"/>
      </w:rPr>
    </w:lvl>
    <w:lvl w:ilvl="8" w:tplc="3DE02F0A">
      <w:numFmt w:val="bullet"/>
      <w:lvlText w:val="•"/>
      <w:lvlJc w:val="left"/>
      <w:pPr>
        <w:ind w:left="8361" w:hanging="281"/>
      </w:pPr>
      <w:rPr>
        <w:rFonts w:hint="default"/>
        <w:lang w:eastAsia="en-US" w:bidi="ar-SA"/>
      </w:rPr>
    </w:lvl>
  </w:abstractNum>
  <w:num w:numId="1" w16cid:durableId="561646837">
    <w:abstractNumId w:val="1"/>
  </w:num>
  <w:num w:numId="2" w16cid:durableId="122239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12479"/>
    <w:rsid w:val="00012479"/>
    <w:rsid w:val="001E53D6"/>
    <w:rsid w:val="003165DB"/>
    <w:rsid w:val="0068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D386"/>
  <w15:docId w15:val="{A13684FB-1743-420A-AD21-FC7B3162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12479"/>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12479"/>
    <w:pPr>
      <w:ind w:left="913" w:hanging="360"/>
    </w:pPr>
  </w:style>
  <w:style w:type="paragraph" w:customStyle="1" w:styleId="11">
    <w:name w:val="Заголовок 11"/>
    <w:basedOn w:val="a"/>
    <w:uiPriority w:val="1"/>
    <w:qFormat/>
    <w:rsid w:val="00012479"/>
    <w:pPr>
      <w:ind w:left="694" w:hanging="472"/>
      <w:outlineLvl w:val="1"/>
    </w:pPr>
    <w:rPr>
      <w:b/>
      <w:bCs/>
    </w:rPr>
  </w:style>
  <w:style w:type="paragraph" w:styleId="a4">
    <w:name w:val="List Paragraph"/>
    <w:basedOn w:val="a"/>
    <w:uiPriority w:val="1"/>
    <w:qFormat/>
    <w:rsid w:val="00012479"/>
    <w:pPr>
      <w:ind w:left="913" w:hanging="360"/>
    </w:pPr>
  </w:style>
  <w:style w:type="paragraph" w:customStyle="1" w:styleId="TableParagraph">
    <w:name w:val="Table Paragraph"/>
    <w:basedOn w:val="a"/>
    <w:uiPriority w:val="1"/>
    <w:qFormat/>
    <w:rsid w:val="0001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3</cp:revision>
  <dcterms:created xsi:type="dcterms:W3CDTF">2022-11-21T05:28:00Z</dcterms:created>
  <dcterms:modified xsi:type="dcterms:W3CDTF">2022-11-21T11:13:00Z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for Office 365</vt:lpwstr>
  </property>
  <property fmtid="{D5CDD505-2E9C-101B-9397-08002B2CF9AE}" pid="4" name="LastSaved">
    <vt:filetime>2022-11-20T00:00:00Z</vt:filetime>
  </property>
</Properties>
</file>